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5446" w14:textId="77777777" w:rsidR="00A37AEA" w:rsidRPr="00A37AEA" w:rsidRDefault="00A37AEA" w:rsidP="00A37AEA">
      <w:pPr>
        <w:rPr>
          <w:rFonts w:cstheme="minorHAnsi"/>
        </w:rPr>
      </w:pPr>
    </w:p>
    <w:p w14:paraId="44C8CC48" w14:textId="77777777" w:rsidR="00A37AEA" w:rsidRPr="00A37AEA" w:rsidRDefault="00A37AEA" w:rsidP="00A37AEA">
      <w:r w:rsidRPr="00A37AEA">
        <w:rPr>
          <w:noProof/>
        </w:rPr>
        <w:drawing>
          <wp:inline distT="0" distB="0" distL="0" distR="0" wp14:anchorId="76758FE4" wp14:editId="171E11BF">
            <wp:extent cx="1724025" cy="989987"/>
            <wp:effectExtent l="0" t="0" r="0" b="635"/>
            <wp:docPr id="187847289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72890"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2078" cy="994611"/>
                    </a:xfrm>
                    <a:prstGeom prst="rect">
                      <a:avLst/>
                    </a:prstGeom>
                  </pic:spPr>
                </pic:pic>
              </a:graphicData>
            </a:graphic>
          </wp:inline>
        </w:drawing>
      </w:r>
    </w:p>
    <w:p w14:paraId="6651D19A" w14:textId="77777777" w:rsidR="00A37AEA" w:rsidRPr="00A37AEA" w:rsidRDefault="00A37AEA" w:rsidP="00A37AEA">
      <w:pPr>
        <w:spacing w:after="0"/>
        <w:jc w:val="center"/>
        <w:rPr>
          <w:b/>
          <w:bCs/>
          <w:sz w:val="28"/>
          <w:szCs w:val="28"/>
        </w:rPr>
      </w:pPr>
      <w:r w:rsidRPr="00A37AEA">
        <w:rPr>
          <w:b/>
          <w:bCs/>
          <w:sz w:val="28"/>
          <w:szCs w:val="28"/>
        </w:rPr>
        <w:t>Hydrogen – Where Are We and Where to From Here?</w:t>
      </w:r>
    </w:p>
    <w:p w14:paraId="6BE2ECEA" w14:textId="77777777" w:rsidR="00A37AEA" w:rsidRPr="00A37AEA" w:rsidRDefault="00A37AEA" w:rsidP="00A37AEA">
      <w:pPr>
        <w:spacing w:after="0"/>
        <w:jc w:val="center"/>
        <w:rPr>
          <w:i/>
          <w:iCs/>
        </w:rPr>
      </w:pPr>
      <w:r w:rsidRPr="00A37AEA">
        <w:rPr>
          <w:i/>
          <w:iCs/>
        </w:rPr>
        <w:t>A Stocktake of Hydrogen Technology in Queensland</w:t>
      </w:r>
    </w:p>
    <w:p w14:paraId="7BA7C364" w14:textId="77777777" w:rsidR="00A37AEA" w:rsidRPr="00A37AEA" w:rsidRDefault="00A37AEA" w:rsidP="00A37AEA">
      <w:pPr>
        <w:spacing w:after="0"/>
        <w:jc w:val="center"/>
        <w:rPr>
          <w:i/>
          <w:iCs/>
        </w:rPr>
      </w:pPr>
    </w:p>
    <w:p w14:paraId="6DFFD33A" w14:textId="77777777" w:rsidR="00A37AEA" w:rsidRPr="00A37AEA" w:rsidRDefault="00A37AEA" w:rsidP="00A37AEA">
      <w:r w:rsidRPr="00A37AEA">
        <w:t>A review of findings from a Queensland Workshop held on 17</w:t>
      </w:r>
      <w:r w:rsidRPr="00A37AEA">
        <w:rPr>
          <w:vertAlign w:val="superscript"/>
        </w:rPr>
        <w:t>th</w:t>
      </w:r>
      <w:r w:rsidRPr="00A37AEA">
        <w:t xml:space="preserve"> October 2025 at the offices of Hamilton Locke in Brisbane. </w:t>
      </w:r>
    </w:p>
    <w:p w14:paraId="0A575AAD" w14:textId="77777777" w:rsidR="00A37AEA" w:rsidRPr="00A37AEA" w:rsidRDefault="00A37AEA" w:rsidP="00A37AEA">
      <w:pPr>
        <w:numPr>
          <w:ilvl w:val="0"/>
          <w:numId w:val="2"/>
        </w:numPr>
        <w:contextualSpacing/>
        <w:rPr>
          <w:b/>
          <w:bCs/>
        </w:rPr>
      </w:pPr>
      <w:r w:rsidRPr="00A37AEA">
        <w:rPr>
          <w:b/>
          <w:bCs/>
        </w:rPr>
        <w:t>Background</w:t>
      </w:r>
    </w:p>
    <w:p w14:paraId="543E430A" w14:textId="77777777" w:rsidR="00A37AEA" w:rsidRPr="00A37AEA" w:rsidRDefault="00A37AEA" w:rsidP="00A37AEA">
      <w:r w:rsidRPr="00A37AEA">
        <w:t xml:space="preserve">Queensland is home to some significant hydrogen industry projects as listed on the </w:t>
      </w:r>
      <w:hyperlink r:id="rId6" w:history="1">
        <w:proofErr w:type="spellStart"/>
        <w:r w:rsidRPr="00A37AEA">
          <w:rPr>
            <w:color w:val="0563C1" w:themeColor="hyperlink"/>
            <w:u w:val="single"/>
          </w:rPr>
          <w:t>hyresource</w:t>
        </w:r>
        <w:proofErr w:type="spellEnd"/>
      </w:hyperlink>
      <w:r w:rsidRPr="00A37AEA">
        <w:t xml:space="preserve"> database as well as research activities in universities and CSIRO listed on </w:t>
      </w:r>
      <w:hyperlink r:id="rId7" w:history="1">
        <w:proofErr w:type="spellStart"/>
        <w:r w:rsidRPr="00A37AEA">
          <w:rPr>
            <w:color w:val="0563C1" w:themeColor="hyperlink"/>
            <w:u w:val="single"/>
          </w:rPr>
          <w:t>hyresearch</w:t>
        </w:r>
        <w:proofErr w:type="spellEnd"/>
      </w:hyperlink>
      <w:r w:rsidRPr="00A37AEA">
        <w:t xml:space="preserve">.   For this workshop, the AHRN invited companies active in hydrogen projects as well as government representatives to brainstorm and review the status of hydrogen projects and research in Queensland. In the event, 16 companies were represented at the workshop together with representations from the CSIRO and 4 universities: QUT, Griffith University, CQUniversity and the University of the Sunshine Coast.  No government representatives attended. </w:t>
      </w:r>
    </w:p>
    <w:p w14:paraId="739EA634" w14:textId="77777777" w:rsidR="00A37AEA" w:rsidRPr="00A37AEA" w:rsidRDefault="00A37AEA" w:rsidP="00A37AEA">
      <w:pPr>
        <w:numPr>
          <w:ilvl w:val="0"/>
          <w:numId w:val="2"/>
        </w:numPr>
        <w:contextualSpacing/>
        <w:rPr>
          <w:b/>
          <w:bCs/>
        </w:rPr>
      </w:pPr>
      <w:r w:rsidRPr="00A37AEA">
        <w:rPr>
          <w:b/>
          <w:bCs/>
        </w:rPr>
        <w:t>Form of the workshop</w:t>
      </w:r>
    </w:p>
    <w:p w14:paraId="285B1559" w14:textId="77777777" w:rsidR="00A37AEA" w:rsidRPr="00A37AEA" w:rsidRDefault="00A37AEA" w:rsidP="00A37AEA">
      <w:pPr>
        <w:rPr>
          <w:rFonts w:cstheme="minorHAnsi"/>
          <w:shd w:val="clear" w:color="auto" w:fill="FFFFFF"/>
        </w:rPr>
      </w:pPr>
      <w:r w:rsidRPr="00A37AEA">
        <w:t xml:space="preserve">After an introduction to the AHRN by Andrew Dicks, CEO of the AHRN, all attending the workshop were invited to introduce themselves and give a short explanation of their interest and involvement in hydrogen.  Paul Hodgson, </w:t>
      </w:r>
      <w:r w:rsidRPr="00A37AEA">
        <w:rPr>
          <w:rFonts w:cstheme="minorHAnsi"/>
          <w:shd w:val="clear" w:color="auto" w:fill="FFFFFF"/>
        </w:rPr>
        <w:t xml:space="preserve">Executive Director, Regional Futures - Energy Transitions &amp; Director, Centre for Hydrogen and Renewable Energy, CQUniversity Australia, then facilitated a brainstorming discussion around the needs and aspirations of industry and the projects and capabilities of the researchers. The thoughts and ideas from the various participants were captured on whiteboards from which some key messages were drawn. </w:t>
      </w:r>
    </w:p>
    <w:p w14:paraId="494EC5EE" w14:textId="77777777" w:rsidR="00A37AEA" w:rsidRPr="00A37AEA" w:rsidRDefault="00A37AEA" w:rsidP="00A37AEA">
      <w:pPr>
        <w:numPr>
          <w:ilvl w:val="0"/>
          <w:numId w:val="2"/>
        </w:numPr>
        <w:contextualSpacing/>
      </w:pPr>
      <w:r w:rsidRPr="00A37AEA">
        <w:rPr>
          <w:rFonts w:cstheme="minorHAnsi"/>
          <w:b/>
          <w:bCs/>
          <w:shd w:val="clear" w:color="auto" w:fill="FFFFFF"/>
        </w:rPr>
        <w:t xml:space="preserve">Immediate take-aways or “where are we?” </w:t>
      </w:r>
    </w:p>
    <w:p w14:paraId="6E0C2A0D" w14:textId="77777777" w:rsidR="00A37AEA" w:rsidRPr="00A37AEA" w:rsidRDefault="00A37AEA" w:rsidP="00A37AEA">
      <w:pPr>
        <w:rPr>
          <w:i/>
          <w:iCs/>
        </w:rPr>
      </w:pPr>
      <w:r w:rsidRPr="00A37AEA">
        <w:rPr>
          <w:i/>
          <w:iCs/>
        </w:rPr>
        <w:t>3.1 Perspectives from industry</w:t>
      </w:r>
    </w:p>
    <w:p w14:paraId="63B638D2" w14:textId="77777777" w:rsidR="00A37AEA" w:rsidRPr="00A37AEA" w:rsidRDefault="00A37AEA" w:rsidP="00A37AEA">
      <w:r w:rsidRPr="00A37AEA">
        <w:t xml:space="preserve">All participants were very keen to share their views on the status of hydrogen in Queensland, and the state government decision to cut </w:t>
      </w:r>
      <w:proofErr w:type="spellStart"/>
      <w:r w:rsidRPr="00A37AEA">
        <w:t>it’s</w:t>
      </w:r>
      <w:proofErr w:type="spellEnd"/>
      <w:r w:rsidRPr="00A37AEA">
        <w:t xml:space="preserve"> support to Queensland-based projects will not derail the nascent industry.  Large projects that were instigated on the back of the National Hydrogen Strategy of 2019 were viewed as largely aspirational and that real progress should be judged by smaller projects that do not rely on multiple sources of finance.  Moreover, overseas investors and partners in large Queensland hydrogen projects that were underpinned by state government support, have continued to show their support for hydrogen projects by investing elsewhere </w:t>
      </w:r>
    </w:p>
    <w:p w14:paraId="60AEB31E" w14:textId="77777777" w:rsidR="00A37AEA" w:rsidRPr="00A37AEA" w:rsidRDefault="00A37AEA" w:rsidP="00A37AEA">
      <w:r w:rsidRPr="00A37AEA">
        <w:t xml:space="preserve">It was to certain degree agreed that the industry could be broadly divided into three main groups, each with quite different needs in terms of technical or research interest: </w:t>
      </w:r>
    </w:p>
    <w:p w14:paraId="291A7625" w14:textId="77777777" w:rsidR="00A37AEA" w:rsidRPr="00A37AEA" w:rsidRDefault="00A37AEA" w:rsidP="00A37AEA">
      <w:pPr>
        <w:numPr>
          <w:ilvl w:val="0"/>
          <w:numId w:val="1"/>
        </w:numPr>
        <w:contextualSpacing/>
      </w:pPr>
      <w:r w:rsidRPr="00A37AEA">
        <w:t>Technology Users</w:t>
      </w:r>
    </w:p>
    <w:p w14:paraId="773320A9" w14:textId="77777777" w:rsidR="00A37AEA" w:rsidRPr="00A37AEA" w:rsidRDefault="00A37AEA" w:rsidP="00A37AEA">
      <w:pPr>
        <w:numPr>
          <w:ilvl w:val="0"/>
          <w:numId w:val="1"/>
        </w:numPr>
        <w:contextualSpacing/>
      </w:pPr>
      <w:r w:rsidRPr="00A37AEA">
        <w:t>Technology Providers</w:t>
      </w:r>
    </w:p>
    <w:p w14:paraId="7F78EE93" w14:textId="77777777" w:rsidR="00A37AEA" w:rsidRPr="00A37AEA" w:rsidRDefault="00A37AEA" w:rsidP="00A37AEA">
      <w:pPr>
        <w:numPr>
          <w:ilvl w:val="0"/>
          <w:numId w:val="1"/>
        </w:numPr>
        <w:contextualSpacing/>
      </w:pPr>
      <w:r w:rsidRPr="00A37AEA">
        <w:t>Project Deliverers</w:t>
      </w:r>
    </w:p>
    <w:p w14:paraId="5D656EEB" w14:textId="77777777" w:rsidR="00A37AEA" w:rsidRPr="00A37AEA" w:rsidRDefault="00A37AEA" w:rsidP="00A37AEA">
      <w:r w:rsidRPr="00A37AEA">
        <w:lastRenderedPageBreak/>
        <w:t xml:space="preserve">As an example, a very notable comment (coming from the technology </w:t>
      </w:r>
      <w:proofErr w:type="gramStart"/>
      <w:r w:rsidRPr="00A37AEA">
        <w:t>users</w:t>
      </w:r>
      <w:proofErr w:type="gramEnd"/>
      <w:r w:rsidRPr="00A37AEA">
        <w:t xml:space="preserve"> group) was that the needs of companies (Technology users) are not sophisticated but rather simple – a ready market for products and sufficient investment to provide a worthwhile return.   </w:t>
      </w:r>
    </w:p>
    <w:p w14:paraId="175D0E68" w14:textId="77777777" w:rsidR="00A37AEA" w:rsidRPr="00A37AEA" w:rsidRDefault="00A37AEA" w:rsidP="00A37AEA">
      <w:r w:rsidRPr="00A37AEA">
        <w:t>The key interests of those groups can be summarised as follows</w:t>
      </w:r>
    </w:p>
    <w:p w14:paraId="67FE67DF" w14:textId="77777777" w:rsidR="00A37AEA" w:rsidRPr="00A37AEA" w:rsidRDefault="00A37AEA" w:rsidP="00A37AEA">
      <w:r w:rsidRPr="00A37AEA">
        <w:rPr>
          <w:b/>
          <w:bCs/>
        </w:rPr>
        <w:t>Technology users</w:t>
      </w:r>
      <w:r w:rsidRPr="00A37AEA">
        <w:t xml:space="preserve"> need the confidence that the technology works and will provide a sustained and guaranteed performance.  They are not so interested in low TRL developments that may appear in 5-10 </w:t>
      </w:r>
      <w:proofErr w:type="spellStart"/>
      <w:r w:rsidRPr="00A37AEA">
        <w:t>years time</w:t>
      </w:r>
      <w:proofErr w:type="spellEnd"/>
      <w:r w:rsidRPr="00A37AEA">
        <w:t xml:space="preserve">.  To a certain degree this thinking is similar for </w:t>
      </w:r>
      <w:r w:rsidRPr="00A37AEA">
        <w:rPr>
          <w:b/>
          <w:bCs/>
        </w:rPr>
        <w:t>technology providers</w:t>
      </w:r>
      <w:r w:rsidRPr="00A37AEA">
        <w:t xml:space="preserve"> except they may be able to provide a limited support of long-term research to help develop next generation technologies. However, they are interested in R&amp;D that makes their proprietary technologies more competitive in the technology market (e.g. increase of reliability and efficiency, decrease of costs).</w:t>
      </w:r>
    </w:p>
    <w:p w14:paraId="25E3C9C7" w14:textId="77777777" w:rsidR="00A37AEA" w:rsidRPr="00A37AEA" w:rsidRDefault="00A37AEA" w:rsidP="00A37AEA">
      <w:r w:rsidRPr="00A37AEA">
        <w:rPr>
          <w:b/>
          <w:bCs/>
        </w:rPr>
        <w:t>Project deliverers</w:t>
      </w:r>
      <w:r w:rsidRPr="00A37AEA">
        <w:t xml:space="preserve"> need to have a good understanding of the limitations (including fundamental ones) of the existing technologies and knowledge of emerging technologies, which could fill existing technology gaps. They also need the confidence that the technologies can be sourced without supply chain issues and integrated into a complete system without hindrance from a poorly developed regulatory environment. </w:t>
      </w:r>
    </w:p>
    <w:p w14:paraId="2EC0A31F" w14:textId="77777777" w:rsidR="00A37AEA" w:rsidRPr="00A37AEA" w:rsidRDefault="00A37AEA" w:rsidP="00A37AEA">
      <w:r w:rsidRPr="00A37AEA">
        <w:t>However, representatives of all industry groups agreed that the successful development of the hydrogen industry strongly depends on overcoming balance of plant (BOP) limitations (auxiliary technologies, integration, infrastructure), hence understanding the technological risks, and having R&amp;D support to target the BOP issues is essential.</w:t>
      </w:r>
    </w:p>
    <w:p w14:paraId="2F3EAF35" w14:textId="77777777" w:rsidR="00A37AEA" w:rsidRPr="00A37AEA" w:rsidRDefault="00A37AEA" w:rsidP="00A37AEA">
      <w:r w:rsidRPr="00A37AEA">
        <w:t xml:space="preserve">Many comments from the industry participants were generally accepted, such as targeting no regret markets e.g., long haul mobility, ammonia, gas blending.  Other comments generally fell into the following categories: </w:t>
      </w:r>
    </w:p>
    <w:p w14:paraId="12D46105" w14:textId="77777777" w:rsidR="00A37AEA" w:rsidRPr="00A37AEA" w:rsidRDefault="00A37AEA" w:rsidP="00A37AEA">
      <w:pPr>
        <w:rPr>
          <w:b/>
          <w:bCs/>
          <w:i/>
          <w:iCs/>
        </w:rPr>
      </w:pPr>
      <w:r w:rsidRPr="00A37AEA">
        <w:rPr>
          <w:b/>
          <w:bCs/>
          <w:i/>
          <w:iCs/>
        </w:rPr>
        <w:t>Policy</w:t>
      </w:r>
    </w:p>
    <w:p w14:paraId="789AAB58" w14:textId="77777777" w:rsidR="00A37AEA" w:rsidRPr="00A37AEA" w:rsidRDefault="00A37AEA" w:rsidP="00A37AEA">
      <w:r w:rsidRPr="00A37AEA">
        <w:t xml:space="preserve">Some comments suggested that policy formation should be led by industry and industry needs to inform the policy makers with a role for researchers to help inform policy makers on technical and socio-economic aspects.  However, there were no suggestions of the mechanisms to implement this approach. Another aspect of policy mentioned was a large </w:t>
      </w:r>
      <w:proofErr w:type="gramStart"/>
      <w:r w:rsidRPr="00A37AEA">
        <w:t>amount</w:t>
      </w:r>
      <w:proofErr w:type="gramEnd"/>
      <w:r w:rsidRPr="00A37AEA">
        <w:t xml:space="preserve"> of gold-plated standards – standards need to be justified and subject to risk management</w:t>
      </w:r>
      <w:r w:rsidRPr="00A37AEA">
        <w:rPr>
          <w:b/>
          <w:bCs/>
        </w:rPr>
        <w:t xml:space="preserve">.   </w:t>
      </w:r>
      <w:r w:rsidRPr="00A37AEA">
        <w:t xml:space="preserve">While there is a potential for researchers to play some role in reviewing the standards to provide robust technical justification for the desired change, it is unclear how this collaboration between industrial representatives, research community and government bodies (including Australian Standards) could be organised. Many imported technologies do not comply with Australian standards but should be adopted if they apply to robust international standards.  Compliance with regulatory and other codes is seen to take far too long in comparison with industry development in other countries, potentially leaving Australia well behind China, for example. </w:t>
      </w:r>
    </w:p>
    <w:p w14:paraId="60AC4774" w14:textId="77777777" w:rsidR="00A37AEA" w:rsidRPr="00A37AEA" w:rsidRDefault="00A37AEA" w:rsidP="00A37AEA">
      <w:r w:rsidRPr="00A37AEA">
        <w:t>It is questioned what policy levers can best be applied to subsidise or enable a fair pass-through model to support hydrogen projects in the short term until the market takes off. (e.g. comparison with solar rebate schemes that were used to stimulate domestic PV installations on rooftops).  Renewable Gas Certification could be a useful revenue lever for hydrogen projects, as an alternative to LGCs.</w:t>
      </w:r>
      <w:r w:rsidRPr="00A37AEA">
        <w:rPr>
          <w:b/>
          <w:bCs/>
        </w:rPr>
        <w:t xml:space="preserve">  </w:t>
      </w:r>
      <w:r w:rsidRPr="00A37AEA">
        <w:t>Again, the role of researchers and exact research questions that needed to be answered remain undetermined.</w:t>
      </w:r>
    </w:p>
    <w:p w14:paraId="4C3E09FA" w14:textId="77777777" w:rsidR="00A37AEA" w:rsidRPr="00A37AEA" w:rsidRDefault="00A37AEA" w:rsidP="00A37AEA">
      <w:pPr>
        <w:rPr>
          <w:b/>
          <w:bCs/>
          <w:i/>
          <w:iCs/>
        </w:rPr>
      </w:pPr>
    </w:p>
    <w:p w14:paraId="031197B0" w14:textId="77777777" w:rsidR="00A37AEA" w:rsidRPr="00A37AEA" w:rsidRDefault="00A37AEA" w:rsidP="00A37AEA">
      <w:pPr>
        <w:rPr>
          <w:b/>
          <w:bCs/>
          <w:i/>
          <w:iCs/>
        </w:rPr>
      </w:pPr>
      <w:r w:rsidRPr="00A37AEA">
        <w:rPr>
          <w:b/>
          <w:bCs/>
          <w:i/>
          <w:iCs/>
        </w:rPr>
        <w:lastRenderedPageBreak/>
        <w:t>Safety</w:t>
      </w:r>
    </w:p>
    <w:p w14:paraId="54F4E293" w14:textId="77777777" w:rsidR="00A37AEA" w:rsidRPr="00A37AEA" w:rsidRDefault="00A37AEA" w:rsidP="00A37AEA">
      <w:r w:rsidRPr="00A37AEA">
        <w:t>Questions were asked about understanding the technologies and risks of different hydrogen storage systems.  This is an area where the research community can help potential users, for example to understand the chemical effects on various properties of relevant materials, and the safety and controls of transmission and hydrogen storage.   Questions were asked about the technical risks associated with underground storage vs. other options, and the best options for liquid organic hydrogen carriers (i.e., comparison between UHS, Liquified hydrogen LOHCs). Obviously despite several demonstration projects that are happening in this area (e.g. Lochard Energy UHS project) there is a very low level of awareness of such activities among the broad hydrogen industry community.</w:t>
      </w:r>
    </w:p>
    <w:p w14:paraId="51A4FE9D" w14:textId="77777777" w:rsidR="00A37AEA" w:rsidRPr="00A37AEA" w:rsidRDefault="00A37AEA" w:rsidP="00A37AEA">
      <w:pPr>
        <w:rPr>
          <w:b/>
          <w:bCs/>
          <w:i/>
          <w:iCs/>
        </w:rPr>
      </w:pPr>
      <w:r w:rsidRPr="00A37AEA">
        <w:rPr>
          <w:b/>
          <w:bCs/>
          <w:i/>
          <w:iCs/>
        </w:rPr>
        <w:t>Project Design and Financing</w:t>
      </w:r>
    </w:p>
    <w:p w14:paraId="41C8BC61" w14:textId="77777777" w:rsidR="00A37AEA" w:rsidRPr="00A37AEA" w:rsidRDefault="00A37AEA" w:rsidP="00A37AEA">
      <w:r w:rsidRPr="00A37AEA">
        <w:t xml:space="preserve">Technology providers need guidance as to the best storage and transmission vectors at the scale of 15MW.  Researchers need to be honest about the issues to tackle such projects.  There are many risks for companies, including investors, that are traditionally risk averse – project design needs to understand the risks.  There needs to be an understanding of the difference between economy of scale vs economy of manufacturing.  Investors need reassurance of development costs and are afraid of cost creep.  Evidence of cost saving requires close collaboration between researchers and industry, particularly EPC companies, particularly to identify the research areas that have the biggest impact on project costs and economic feasibility.  The use of AI and technologies such as digital twins was questioned in terms of helping project design.  It was noted that good projects may have failed because of social licence issues, whereas lesser projects have progressed because of better community engagement. </w:t>
      </w:r>
    </w:p>
    <w:p w14:paraId="4CEFABEE" w14:textId="77777777" w:rsidR="00A37AEA" w:rsidRPr="00A37AEA" w:rsidRDefault="00A37AEA" w:rsidP="00A37AEA">
      <w:pPr>
        <w:rPr>
          <w:b/>
          <w:bCs/>
          <w:i/>
          <w:iCs/>
        </w:rPr>
      </w:pPr>
      <w:r w:rsidRPr="00A37AEA">
        <w:rPr>
          <w:b/>
          <w:bCs/>
          <w:i/>
          <w:iCs/>
        </w:rPr>
        <w:t>Scale-up, Markets and utilisation</w:t>
      </w:r>
    </w:p>
    <w:p w14:paraId="21A3A95F" w14:textId="77777777" w:rsidR="00A37AEA" w:rsidRPr="00A37AEA" w:rsidRDefault="00A37AEA" w:rsidP="00A37AEA">
      <w:r w:rsidRPr="00A37AEA">
        <w:t xml:space="preserve">There seems to be a lack of clarity in Australia on the reality of clean H2 or ammonia.  Robust technology agnostic analysis (TEA, LCA, deployment/scaling-up times) of various methods of H2 production is required, thus the mechanisms, including industry/research information exchange and funding such analysis avoiding the trap of real or perceived vested interest in particular technology types.  Research is needed also to understand the mechanisms of decreasing the levelized cost of H2 production as a function of scale-up.  It should be noted that there is a lot of room for development of utilisation technologies, capturing the value of oxygen generated by electrolysis (e.g., in wastewater treatment) could help secure financial viability of clean hydrogen projects.  Scale-up challenges can be helped by accessing information from pilot plants and demonstration </w:t>
      </w:r>
      <w:proofErr w:type="gramStart"/>
      <w:r w:rsidRPr="00A37AEA">
        <w:t>projects, and</w:t>
      </w:r>
      <w:proofErr w:type="gramEnd"/>
      <w:r w:rsidRPr="00A37AEA">
        <w:t xml:space="preserve"> providing system analysis to support technology integration.  A comment was made that projects can’t carry or afford utility infrastructure costs by themselves, so common user infrastructure should be the goal. </w:t>
      </w:r>
    </w:p>
    <w:p w14:paraId="1EA5682C" w14:textId="77777777" w:rsidR="00A37AEA" w:rsidRPr="00A37AEA" w:rsidRDefault="00A37AEA" w:rsidP="00A37AEA">
      <w:r w:rsidRPr="00A37AEA">
        <w:t xml:space="preserve">Very few questions from industry addressed improvement of equipment, but a desire for Australian manufactured electrolysers, for example, could be a benefit to the developing industry. </w:t>
      </w:r>
    </w:p>
    <w:p w14:paraId="4A9A1E79" w14:textId="77777777" w:rsidR="00A37AEA" w:rsidRPr="00A37AEA" w:rsidRDefault="00A37AEA" w:rsidP="00A37AEA"/>
    <w:p w14:paraId="158FF488" w14:textId="77777777" w:rsidR="00A37AEA" w:rsidRPr="00A37AEA" w:rsidRDefault="00A37AEA" w:rsidP="00A37AEA">
      <w:pPr>
        <w:rPr>
          <w:i/>
          <w:iCs/>
        </w:rPr>
      </w:pPr>
      <w:r w:rsidRPr="00A37AEA">
        <w:rPr>
          <w:i/>
          <w:iCs/>
        </w:rPr>
        <w:t>3.2 Perspectives form researchers</w:t>
      </w:r>
    </w:p>
    <w:p w14:paraId="4EA4C073" w14:textId="77777777" w:rsidR="00A37AEA" w:rsidRPr="00A37AEA" w:rsidRDefault="00A37AEA" w:rsidP="00A37AEA">
      <w:pPr>
        <w:jc w:val="both"/>
      </w:pPr>
      <w:r w:rsidRPr="00A37AEA">
        <w:t xml:space="preserve">The university groups represented, outlined their expertise and skills which could be summarised as follows: </w:t>
      </w:r>
    </w:p>
    <w:p w14:paraId="2177DAB7" w14:textId="77777777" w:rsidR="00A37AEA" w:rsidRPr="00A37AEA" w:rsidRDefault="00A37AEA" w:rsidP="00A37AEA">
      <w:pPr>
        <w:jc w:val="both"/>
      </w:pPr>
      <w:r w:rsidRPr="00A37AEA">
        <w:rPr>
          <w:b/>
          <w:bCs/>
          <w:i/>
          <w:iCs/>
        </w:rPr>
        <w:lastRenderedPageBreak/>
        <w:t>Materials development and testing.</w:t>
      </w:r>
      <w:r w:rsidRPr="00A37AEA">
        <w:t xml:space="preserve">  This included testing under extreme pressures and temperatures and testing for hydrogen embrittlement.  Hydrogen uptake (storage) of different materials, permeation of steels and polymers, and evolution of ppm levels of hydrogen from steels.  Corrosion measurements, degradation of electrolyser materials and materials tested in hydrogen or mixed gas environments.  Development of </w:t>
      </w:r>
      <w:proofErr w:type="gramStart"/>
      <w:r w:rsidRPr="00A37AEA">
        <w:t>next-gen</w:t>
      </w:r>
      <w:proofErr w:type="gramEnd"/>
      <w:r w:rsidRPr="00A37AEA">
        <w:t xml:space="preserve"> electrocatalysts for fuel cells and electrolysers, and their compatibility with structural materials. Hydrogen based superconductors (QUT). </w:t>
      </w:r>
    </w:p>
    <w:p w14:paraId="0E0E5748" w14:textId="77777777" w:rsidR="00A37AEA" w:rsidRPr="00A37AEA" w:rsidRDefault="00A37AEA" w:rsidP="00A37AEA">
      <w:pPr>
        <w:jc w:val="both"/>
        <w:rPr>
          <w:b/>
          <w:bCs/>
        </w:rPr>
      </w:pPr>
      <w:r w:rsidRPr="00A37AEA">
        <w:rPr>
          <w:b/>
          <w:bCs/>
        </w:rPr>
        <w:t xml:space="preserve">Collating data and analysis.   </w:t>
      </w:r>
      <w:r w:rsidRPr="00A37AEA">
        <w:t>Monitoring of electrolyser degradation during use, extending to monitoring of other technology operation in pilot plants and demonstrations.</w:t>
      </w:r>
      <w:r w:rsidRPr="00A37AEA">
        <w:rPr>
          <w:b/>
          <w:bCs/>
        </w:rPr>
        <w:t xml:space="preserve">  </w:t>
      </w:r>
      <w:r w:rsidRPr="00A37AEA">
        <w:t>QUT with practical access to the Redlands facility can provide asset management advice to developers of hydrogen system.</w:t>
      </w:r>
      <w:r w:rsidRPr="00A37AEA">
        <w:rPr>
          <w:b/>
          <w:bCs/>
        </w:rPr>
        <w:t xml:space="preserve">  </w:t>
      </w:r>
      <w:r w:rsidRPr="00A37AEA">
        <w:t>System modelling and optimisation is also available through both QUT and Griffith universities, and with other collaborations within the AHRN.</w:t>
      </w:r>
      <w:r w:rsidRPr="00A37AEA">
        <w:rPr>
          <w:b/>
          <w:bCs/>
        </w:rPr>
        <w:t xml:space="preserve">  </w:t>
      </w:r>
      <w:r w:rsidRPr="00A37AEA">
        <w:t>Digital twin or AI was also offered by CQU which also has specific expertise in liquid hydrogen production, storage and utilisation and low-carbon chemical production utilising clean H2 or ammonia.</w:t>
      </w:r>
      <w:r w:rsidRPr="00A37AEA">
        <w:rPr>
          <w:b/>
          <w:bCs/>
        </w:rPr>
        <w:t xml:space="preserve"> </w:t>
      </w:r>
    </w:p>
    <w:p w14:paraId="57370C7E" w14:textId="77777777" w:rsidR="00A37AEA" w:rsidRPr="00A37AEA" w:rsidRDefault="00A37AEA" w:rsidP="00A37AEA">
      <w:pPr>
        <w:jc w:val="both"/>
      </w:pPr>
      <w:r w:rsidRPr="00A37AEA">
        <w:rPr>
          <w:b/>
          <w:bCs/>
        </w:rPr>
        <w:t xml:space="preserve">CSIRO </w:t>
      </w:r>
      <w:r w:rsidRPr="00A37AEA">
        <w:t>has specific expertise across the whole hydrogen value chain. While CSIRO operations are spread all over Australia, the Queensland-based research capabilities mostly focused on the following areas: material science applications for hydrogen value chain (</w:t>
      </w:r>
      <w:proofErr w:type="spellStart"/>
      <w:r w:rsidRPr="00A37AEA">
        <w:t>e.g</w:t>
      </w:r>
      <w:proofErr w:type="spellEnd"/>
      <w:r w:rsidRPr="00A37AEA">
        <w:t xml:space="preserve"> hydrogen embrittlement and more broadly hydrogen  interaction with materials), electrochemistry for enhancing/hindering hydrogen-metal interactions, new catalysts for ammonia synthesis/cracking and LOHC applications, novel hydrogen compression methods, biomass and waste gasification for hydrogen and SEF applications. CSIRO in QLD has a very strong expertise in understanding the real factors affecting social acceptance of renewable energy technologies, including hydrogen related activities. Other notable hydrogen related activities in CSIRO include (but noy limited to) Natural hydrogen and underground hydrogen storage (Mainly in WA and Vic); photocatalytic water splitting with potential for scaling up (Vic); Electrolysers, fuel cells and modular ammonia synthesis (Vic); TEA and LCA (Vic)Griffith University also has expertise in biogas and waste gasification, while CQUniversity has expertise in fuel cells, electrolysers, catalysts, liquification, waste heat utilisation, digital twins and system modelling, asset management, and a range of deployment, community benefit and workforce development enablers</w:t>
      </w:r>
    </w:p>
    <w:p w14:paraId="75E72579" w14:textId="77777777" w:rsidR="00A37AEA" w:rsidRPr="00A37AEA" w:rsidRDefault="00A37AEA" w:rsidP="00A37AEA">
      <w:pPr>
        <w:jc w:val="both"/>
      </w:pPr>
      <w:r w:rsidRPr="00A37AEA">
        <w:t xml:space="preserve">The following questions were asked by the researchers: </w:t>
      </w:r>
    </w:p>
    <w:p w14:paraId="3F957BC8" w14:textId="77777777" w:rsidR="00A37AEA" w:rsidRPr="00A37AEA" w:rsidRDefault="00A37AEA" w:rsidP="00A37AEA">
      <w:pPr>
        <w:jc w:val="both"/>
      </w:pPr>
      <w:r w:rsidRPr="00A37AEA">
        <w:t>What should be our research priorities, what are the priorities for the Australian hydrogen industry and who determines the priorities?</w:t>
      </w:r>
    </w:p>
    <w:p w14:paraId="64BA85FD" w14:textId="77777777" w:rsidR="00A37AEA" w:rsidRPr="00A37AEA" w:rsidRDefault="00A37AEA" w:rsidP="00A37AEA">
      <w:pPr>
        <w:jc w:val="both"/>
      </w:pPr>
      <w:r w:rsidRPr="00A37AEA">
        <w:t>What are the real factors that can drive down production costs?  How can we know the factors and do they vary with region?</w:t>
      </w:r>
    </w:p>
    <w:p w14:paraId="62B32F0C" w14:textId="77777777" w:rsidR="00A37AEA" w:rsidRPr="00A37AEA" w:rsidRDefault="00A37AEA" w:rsidP="00A37AEA">
      <w:pPr>
        <w:jc w:val="both"/>
      </w:pPr>
      <w:r w:rsidRPr="00A37AEA">
        <w:t xml:space="preserve">Can we learn lessons from the LNG industry? </w:t>
      </w:r>
    </w:p>
    <w:p w14:paraId="0F20CE08" w14:textId="77777777" w:rsidR="00A37AEA" w:rsidRPr="00A37AEA" w:rsidRDefault="00A37AEA" w:rsidP="00A37AEA">
      <w:pPr>
        <w:jc w:val="both"/>
      </w:pPr>
      <w:r w:rsidRPr="00A37AEA">
        <w:t>There is a logical pathway from lab-scale to pilot plant and then demonstration.  Can we make better use of the existing projects?  Whilst de-risking investment in hydrogen is important, model development is critical to accelerating its deployment.</w:t>
      </w:r>
    </w:p>
    <w:p w14:paraId="788CC73E" w14:textId="77777777" w:rsidR="00A37AEA" w:rsidRPr="00A37AEA" w:rsidRDefault="00A37AEA" w:rsidP="00A37AEA">
      <w:pPr>
        <w:jc w:val="both"/>
        <w:rPr>
          <w:b/>
          <w:bCs/>
        </w:rPr>
      </w:pPr>
      <w:r w:rsidRPr="00A37AEA">
        <w:rPr>
          <w:b/>
          <w:bCs/>
        </w:rPr>
        <w:t xml:space="preserve"> </w:t>
      </w:r>
    </w:p>
    <w:p w14:paraId="4BC49A85" w14:textId="77777777" w:rsidR="00A37AEA" w:rsidRPr="00A37AEA" w:rsidRDefault="00A37AEA" w:rsidP="00A37AEA">
      <w:pPr>
        <w:numPr>
          <w:ilvl w:val="0"/>
          <w:numId w:val="2"/>
        </w:numPr>
        <w:ind w:left="360"/>
        <w:contextualSpacing/>
        <w:jc w:val="both"/>
        <w:rPr>
          <w:b/>
          <w:bCs/>
        </w:rPr>
      </w:pPr>
      <w:r w:rsidRPr="00A37AEA">
        <w:rPr>
          <w:b/>
          <w:bCs/>
        </w:rPr>
        <w:t>Next steps or “Where to from here?”</w:t>
      </w:r>
    </w:p>
    <w:p w14:paraId="5068CA0A" w14:textId="77777777" w:rsidR="00A37AEA" w:rsidRPr="00A37AEA" w:rsidRDefault="00A37AEA" w:rsidP="00A37AEA">
      <w:pPr>
        <w:jc w:val="both"/>
      </w:pPr>
      <w:r w:rsidRPr="00A37AEA">
        <w:t xml:space="preserve">The general frank discussions that took place during the workshop, whilst not raising any particularly new issues, was well received and suggestions by the AHRN for follow-on meetings and reviews were welcomed.  At the same time there was clear frustration with the </w:t>
      </w:r>
      <w:proofErr w:type="gramStart"/>
      <w:r w:rsidRPr="00A37AEA">
        <w:t>current status</w:t>
      </w:r>
      <w:proofErr w:type="gramEnd"/>
      <w:r w:rsidRPr="00A37AEA">
        <w:t xml:space="preserve"> of the industry in Queensland and a desire to work together to improve both the industry prospects and make better use of the talents within the research network.  There was some discussion about the value of </w:t>
      </w:r>
      <w:r w:rsidRPr="00A37AEA">
        <w:lastRenderedPageBreak/>
        <w:t xml:space="preserve">researchers in terms of supporting low TRL level projects or TRL levels 5-7 which could be perceived as of more immediate use to industry.  Whilst researchers are sometimes able to address immediate problems that industry has, it is often of more value for companies to develop relationships with research groups over a longer term to get the greatest benefits.  As a result of the discussions at the end of the workshop and subsequent brainstorming, the following are proposed actions by the AHRN and those at the meeting.  </w:t>
      </w:r>
    </w:p>
    <w:p w14:paraId="5F1BC6C9" w14:textId="77777777" w:rsidR="00A37AEA" w:rsidRPr="00A37AEA" w:rsidRDefault="00A37AEA" w:rsidP="00A37AEA">
      <w:pPr>
        <w:numPr>
          <w:ilvl w:val="0"/>
          <w:numId w:val="3"/>
        </w:numPr>
        <w:contextualSpacing/>
        <w:jc w:val="both"/>
      </w:pPr>
      <w:r w:rsidRPr="00A37AEA">
        <w:t xml:space="preserve">A working group be formed to encourage continued dialogue between researchers and industry stakeholder in Queensland.  Participants at the workshop are asked to consider joining the group and provide their suggestion and thoughts how to improve the current </w:t>
      </w:r>
      <w:r w:rsidRPr="00A37AEA">
        <w:rPr>
          <w:i/>
          <w:iCs/>
        </w:rPr>
        <w:t>status quo</w:t>
      </w:r>
      <w:proofErr w:type="gramStart"/>
      <w:r w:rsidRPr="00A37AEA">
        <w:t>. .</w:t>
      </w:r>
      <w:proofErr w:type="gramEnd"/>
      <w:r w:rsidRPr="00A37AEA">
        <w:t xml:space="preserve">   </w:t>
      </w:r>
    </w:p>
    <w:p w14:paraId="47A5EF1A" w14:textId="77777777" w:rsidR="00A37AEA" w:rsidRPr="00A37AEA" w:rsidRDefault="00A37AEA" w:rsidP="00A37AEA">
      <w:pPr>
        <w:numPr>
          <w:ilvl w:val="0"/>
          <w:numId w:val="3"/>
        </w:numPr>
        <w:contextualSpacing/>
        <w:jc w:val="both"/>
      </w:pPr>
      <w:r w:rsidRPr="00A37AEA">
        <w:t xml:space="preserve">The dialogue between researcher and industry should be extended to other states and build on stakeholder organisations that are already established both within states and the country, such as the Australian Hydrogen Council and the Hydrogen Society of Australia. </w:t>
      </w:r>
    </w:p>
    <w:p w14:paraId="43D2895E" w14:textId="77777777" w:rsidR="00A37AEA" w:rsidRPr="00A37AEA" w:rsidRDefault="00A37AEA" w:rsidP="00A37AEA">
      <w:pPr>
        <w:numPr>
          <w:ilvl w:val="0"/>
          <w:numId w:val="3"/>
        </w:numPr>
        <w:contextualSpacing/>
        <w:jc w:val="both"/>
      </w:pPr>
      <w:r w:rsidRPr="00A37AEA">
        <w:t xml:space="preserve">The AHRN should further promote discussions within the Australian Hydrogen Research Conference in February 2026. bringing together researchers and industry to </w:t>
      </w:r>
      <w:proofErr w:type="spellStart"/>
      <w:r w:rsidRPr="00A37AEA">
        <w:t>breakdown</w:t>
      </w:r>
      <w:proofErr w:type="spellEnd"/>
      <w:r w:rsidRPr="00A37AEA">
        <w:t xml:space="preserve"> barriers as far as possible and encourage collaboration and cooperation. </w:t>
      </w:r>
    </w:p>
    <w:p w14:paraId="7EECBB94" w14:textId="77777777" w:rsidR="00A37AEA" w:rsidRPr="00A37AEA" w:rsidRDefault="00A37AEA" w:rsidP="00A37AEA">
      <w:pPr>
        <w:jc w:val="both"/>
      </w:pPr>
    </w:p>
    <w:p w14:paraId="5AE51433" w14:textId="77777777" w:rsidR="00A37AEA" w:rsidRPr="00A37AEA" w:rsidRDefault="00A37AEA" w:rsidP="00A37AEA">
      <w:pPr>
        <w:jc w:val="both"/>
        <w:rPr>
          <w:b/>
          <w:bCs/>
        </w:rPr>
      </w:pPr>
    </w:p>
    <w:p w14:paraId="2144D70C" w14:textId="77777777" w:rsidR="00A37AEA" w:rsidRPr="00A37AEA" w:rsidRDefault="00A37AEA" w:rsidP="00A37AEA">
      <w:pPr>
        <w:jc w:val="both"/>
      </w:pPr>
    </w:p>
    <w:p w14:paraId="68FABE20" w14:textId="77777777" w:rsidR="00A37AEA" w:rsidRPr="00A37AEA" w:rsidRDefault="00A37AEA" w:rsidP="00A37AEA">
      <w:pPr>
        <w:jc w:val="both"/>
      </w:pPr>
    </w:p>
    <w:p w14:paraId="765CB880" w14:textId="77777777" w:rsidR="00A37AEA" w:rsidRPr="00A37AEA" w:rsidRDefault="00A37AEA" w:rsidP="00A37AEA"/>
    <w:p w14:paraId="5E1EEF66" w14:textId="77777777" w:rsidR="00A37AEA" w:rsidRPr="00A37AEA" w:rsidRDefault="00A37AEA" w:rsidP="00A37AEA"/>
    <w:p w14:paraId="63D30148" w14:textId="77777777" w:rsidR="00A37AEA" w:rsidRPr="00A37AEA" w:rsidRDefault="00A37AEA" w:rsidP="00A37AEA"/>
    <w:p w14:paraId="30E51035" w14:textId="77777777" w:rsidR="00A37AEA" w:rsidRPr="00A37AEA" w:rsidRDefault="00A37AEA" w:rsidP="00A37AEA"/>
    <w:p w14:paraId="5EAB8E0E" w14:textId="77777777" w:rsidR="00A37AEA" w:rsidRPr="00A37AEA" w:rsidRDefault="00A37AEA" w:rsidP="00A37AEA">
      <w:pPr>
        <w:rPr>
          <w:rFonts w:cstheme="minorHAnsi"/>
        </w:rPr>
      </w:pPr>
    </w:p>
    <w:p w14:paraId="3FEB53CD" w14:textId="77777777" w:rsidR="0079059C" w:rsidRDefault="0079059C"/>
    <w:sectPr w:rsidR="0079059C" w:rsidSect="00A37AE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4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70E7" w14:textId="77777777" w:rsidR="00A37AEA" w:rsidRDefault="00A37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C391" w14:textId="77777777" w:rsidR="00A37AEA" w:rsidRDefault="00A37AEA" w:rsidP="00B2729D">
    <w:pPr>
      <w:pStyle w:val="BodyText"/>
      <w:spacing w:line="180" w:lineRule="exact"/>
      <w:rPr>
        <w:sz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3445-8853-6387,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4F14" w14:textId="77777777" w:rsidR="00A37AEA" w:rsidRDefault="00A37AE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7FDC" w14:textId="77777777" w:rsidR="00A37AEA" w:rsidRDefault="00A37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1A8B" w14:textId="77777777" w:rsidR="00A37AEA" w:rsidRDefault="00A37AEA">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26BA" w14:textId="77777777" w:rsidR="00A37AEA" w:rsidRDefault="00A37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56DE9"/>
    <w:multiLevelType w:val="hybridMultilevel"/>
    <w:tmpl w:val="E3A00A7E"/>
    <w:lvl w:ilvl="0" w:tplc="5D0863E0">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 w15:restartNumberingAfterBreak="0">
    <w:nsid w:val="70303539"/>
    <w:multiLevelType w:val="hybridMultilevel"/>
    <w:tmpl w:val="3C3643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85B12A6"/>
    <w:multiLevelType w:val="hybridMultilevel"/>
    <w:tmpl w:val="5C9E8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5324126">
    <w:abstractNumId w:val="2"/>
  </w:num>
  <w:num w:numId="2" w16cid:durableId="747388325">
    <w:abstractNumId w:val="1"/>
  </w:num>
  <w:num w:numId="3" w16cid:durableId="164750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EA"/>
    <w:rsid w:val="00046C2E"/>
    <w:rsid w:val="0079059C"/>
    <w:rsid w:val="00A37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FF66"/>
  <w15:chartTrackingRefBased/>
  <w15:docId w15:val="{4C649597-FA51-4173-A534-F02F1279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A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7A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7A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7A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7A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7A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7A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7A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7A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A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7A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7A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7A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7A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7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7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7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7AEA"/>
    <w:rPr>
      <w:rFonts w:eastAsiaTheme="majorEastAsia" w:cstheme="majorBidi"/>
      <w:color w:val="272727" w:themeColor="text1" w:themeTint="D8"/>
    </w:rPr>
  </w:style>
  <w:style w:type="paragraph" w:styleId="Title">
    <w:name w:val="Title"/>
    <w:basedOn w:val="Normal"/>
    <w:next w:val="Normal"/>
    <w:link w:val="TitleChar"/>
    <w:uiPriority w:val="10"/>
    <w:qFormat/>
    <w:rsid w:val="00A37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A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7AEA"/>
    <w:pPr>
      <w:spacing w:before="160"/>
      <w:jc w:val="center"/>
    </w:pPr>
    <w:rPr>
      <w:i/>
      <w:iCs/>
      <w:color w:val="404040" w:themeColor="text1" w:themeTint="BF"/>
    </w:rPr>
  </w:style>
  <w:style w:type="character" w:customStyle="1" w:styleId="QuoteChar">
    <w:name w:val="Quote Char"/>
    <w:basedOn w:val="DefaultParagraphFont"/>
    <w:link w:val="Quote"/>
    <w:uiPriority w:val="29"/>
    <w:rsid w:val="00A37AEA"/>
    <w:rPr>
      <w:i/>
      <w:iCs/>
      <w:color w:val="404040" w:themeColor="text1" w:themeTint="BF"/>
    </w:rPr>
  </w:style>
  <w:style w:type="paragraph" w:styleId="ListParagraph">
    <w:name w:val="List Paragraph"/>
    <w:basedOn w:val="Normal"/>
    <w:uiPriority w:val="34"/>
    <w:qFormat/>
    <w:rsid w:val="00A37AEA"/>
    <w:pPr>
      <w:ind w:left="720"/>
      <w:contextualSpacing/>
    </w:pPr>
  </w:style>
  <w:style w:type="character" w:styleId="IntenseEmphasis">
    <w:name w:val="Intense Emphasis"/>
    <w:basedOn w:val="DefaultParagraphFont"/>
    <w:uiPriority w:val="21"/>
    <w:qFormat/>
    <w:rsid w:val="00A37AEA"/>
    <w:rPr>
      <w:i/>
      <w:iCs/>
      <w:color w:val="2F5496" w:themeColor="accent1" w:themeShade="BF"/>
    </w:rPr>
  </w:style>
  <w:style w:type="paragraph" w:styleId="IntenseQuote">
    <w:name w:val="Intense Quote"/>
    <w:basedOn w:val="Normal"/>
    <w:next w:val="Normal"/>
    <w:link w:val="IntenseQuoteChar"/>
    <w:uiPriority w:val="30"/>
    <w:qFormat/>
    <w:rsid w:val="00A37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7AEA"/>
    <w:rPr>
      <w:i/>
      <w:iCs/>
      <w:color w:val="2F5496" w:themeColor="accent1" w:themeShade="BF"/>
    </w:rPr>
  </w:style>
  <w:style w:type="character" w:styleId="IntenseReference">
    <w:name w:val="Intense Reference"/>
    <w:basedOn w:val="DefaultParagraphFont"/>
    <w:uiPriority w:val="32"/>
    <w:qFormat/>
    <w:rsid w:val="00A37AEA"/>
    <w:rPr>
      <w:b/>
      <w:bCs/>
      <w:smallCaps/>
      <w:color w:val="2F5496" w:themeColor="accent1" w:themeShade="BF"/>
      <w:spacing w:val="5"/>
    </w:rPr>
  </w:style>
  <w:style w:type="paragraph" w:styleId="BodyText">
    <w:name w:val="Body Text"/>
    <w:basedOn w:val="Normal"/>
    <w:link w:val="BodyTextChar"/>
    <w:uiPriority w:val="99"/>
    <w:semiHidden/>
    <w:unhideWhenUsed/>
    <w:rsid w:val="00A37AEA"/>
    <w:pPr>
      <w:spacing w:after="120"/>
    </w:pPr>
  </w:style>
  <w:style w:type="character" w:customStyle="1" w:styleId="BodyTextChar">
    <w:name w:val="Body Text Char"/>
    <w:basedOn w:val="DefaultParagraphFont"/>
    <w:link w:val="BodyText"/>
    <w:uiPriority w:val="99"/>
    <w:semiHidden/>
    <w:rsid w:val="00A37AEA"/>
  </w:style>
  <w:style w:type="paragraph" w:styleId="Header">
    <w:name w:val="header"/>
    <w:basedOn w:val="Normal"/>
    <w:link w:val="HeaderChar"/>
    <w:uiPriority w:val="99"/>
    <w:unhideWhenUsed/>
    <w:rsid w:val="00A37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AEA"/>
  </w:style>
  <w:style w:type="paragraph" w:styleId="Footer">
    <w:name w:val="footer"/>
    <w:basedOn w:val="Normal"/>
    <w:link w:val="FooterChar"/>
    <w:uiPriority w:val="99"/>
    <w:unhideWhenUsed/>
    <w:rsid w:val="00A37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search.csiro.au/hyresear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csiro.au/hyresource" TargetMode="External"/><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2264</Words>
  <Characters>12141</Characters>
  <Application>Microsoft Office Word</Application>
  <DocSecurity>0</DocSecurity>
  <Lines>867</Lines>
  <Paragraphs>288</Paragraphs>
  <ScaleCrop>false</ScaleCrop>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1</cp:revision>
  <dcterms:created xsi:type="dcterms:W3CDTF">2025-12-17T06:19:00Z</dcterms:created>
  <dcterms:modified xsi:type="dcterms:W3CDTF">2025-12-17T06:20:00Z</dcterms:modified>
</cp:coreProperties>
</file>